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5C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 İle Uyum,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Suskunlaştıkça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Değil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Ergen Kadar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Cıvıldaştıkça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Artar</w:t>
      </w:r>
      <w:r w:rsidR="00A32B05">
        <w:rPr>
          <w:rFonts w:cstheme="minorHAnsi"/>
        </w:rPr>
        <w:t xml:space="preserve">                       </w:t>
      </w:r>
      <w:bookmarkStart w:id="0" w:name="_GoBack"/>
      <w:bookmarkEnd w:id="0"/>
      <w:r w:rsidR="00A32B05">
        <w:rPr>
          <w:rFonts w:cstheme="minorHAnsi"/>
        </w:rPr>
        <w:t xml:space="preserve">                </w:t>
      </w:r>
      <w:r w:rsidR="00A32B05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188E027B" wp14:editId="1B01DCB0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B05">
        <w:rPr>
          <w:rFonts w:cstheme="minorHAnsi"/>
        </w:rPr>
        <w:t xml:space="preserve"> 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Ergenlik döneminde bir çocuğun en büyük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ihtiyacı kendisini dinleyen bir yetişkinin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varlığıdır.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Aktif dinleyicisi olan çocuk kendini duygusal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olarak güçlü hisseder.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Ergenlik döneminde suskunluk, çocuğun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doğasına aykırıdır.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Ergen, kendi sesi yankı buldukça mutlu olur…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Bundandır ki ergen kız çocukları bir araya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geldiklerinde bitmek bilmez bir diyalog içine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girerler… Ergen erkek çocukları ise yan yana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geldiklerinde sürekli şakalaşır, konuşurlar.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Bu cıvıldaşma ergenliğin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doğasıdır… ve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anne babalara ergenlerle nasıl yaşamaları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gerektiğini gösteren bir örneğidir…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 için en bıktırıcı yetişkin, suskun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yetişkindir.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Ergenin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Karşısında Çok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Olgunluk,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‘Ergen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Suskunluğuna’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Yol Açar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 suskunluğu, ergenin kendisinin bir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şeyleri hatalı yaptığı zannından kaynaklanan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suskunluğudur.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Zaten ergenin bir yanı çocuktur, bir yanı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yetişkin... Çocuksu yanı ortaya çıkmasın diye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 gibi görünür… Bilgisiz görünmemek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için bilgili gibi davranır…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Bundandır ki ergenler, çok bilgili olduklarını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düşündükleri kişilerin yanında konuşmak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istemez, sessizleşirler… Kendi “bilgisiz”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yanlarının ortaya çıkacağından endişe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ederler…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Ergenle sağlıklı iletişim kurmak isteyen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 mütevazı olmalıdır… Bildikleri ile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karşısındakini ezmeye çalışır gibi değil,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bildiğini mütevazıca paylaşmak istercesine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ilişki kurulmalıdır ergenle...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Ergene dost olmak, mütevazı olmaktan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geçer…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Ergenler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Çok Olgun Kişileri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Sevseler De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Sıkıcı Bulurlar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Birçok yetişkin asık suratlı, olmayı olgunluk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zanneder…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Hâlbuki olgunluk, olaylar karşısında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duygularını kaybetmemektir… Her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şartta mütevazılığını ve tebessümünü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koruyabilmektir… Hoşgörü sahibi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olabilmektir…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Ne asık suratlı olmak, ne hissiz olmaktır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olgunluk…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Ergenler, ne suskun ne de panik halinde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kişilerle bir arada olmaktan hoşlanırlar…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Onlar bir yanıyla cıvıl cıvıl olmayı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becerebilen, diğer yanıyla tebessüm eden bir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olgunluğa sahip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yetişkinlerden keyif alırlar…</w:t>
      </w:r>
    </w:p>
    <w:p w:rsid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86F62">
        <w:rPr>
          <w:rFonts w:cstheme="minorHAnsi"/>
        </w:rPr>
        <w:t>Ergen ile uyum içinde olmak isteyen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yetişkin, önce kendi ile barışmalı; yeri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geldiğinde “mütevazı bir tebessümü”, yeri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geldiğinde “cıvıltılı bir ruh halini” bir arada</w:t>
      </w:r>
      <w:r>
        <w:rPr>
          <w:rFonts w:cstheme="minorHAnsi"/>
        </w:rPr>
        <w:t xml:space="preserve"> </w:t>
      </w:r>
      <w:r w:rsidRPr="00886F62">
        <w:rPr>
          <w:rFonts w:cstheme="minorHAnsi"/>
        </w:rPr>
        <w:t>barındırmayı becerebilmelidir.</w:t>
      </w:r>
    </w:p>
    <w:p w:rsid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86F62" w:rsidRPr="0060674C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Pedagog Adem Güneş (Bu yazı, yazarın </w:t>
      </w:r>
      <w:r w:rsidRPr="0060674C">
        <w:rPr>
          <w:rFonts w:cstheme="minorHAnsi"/>
        </w:rPr>
        <w:t>“</w:t>
      </w:r>
      <w:r w:rsidRPr="0060674C">
        <w:rPr>
          <w:rFonts w:cstheme="minorHAnsi"/>
          <w:bCs/>
        </w:rPr>
        <w:t>Ergenlik Döneminde 100 Temel Kural</w:t>
      </w:r>
      <w:r>
        <w:t>” adlı kitabından alınmıştır.)</w:t>
      </w:r>
    </w:p>
    <w:p w:rsidR="00886F62" w:rsidRPr="00886F62" w:rsidRDefault="00886F62" w:rsidP="00886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886F62" w:rsidRPr="0088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D9"/>
    <w:rsid w:val="0065545C"/>
    <w:rsid w:val="00886F62"/>
    <w:rsid w:val="00A32B05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3D7D-DB81-4FF1-9437-AAE2234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2021-09-21T13:24:00Z</dcterms:created>
  <dcterms:modified xsi:type="dcterms:W3CDTF">2022-01-19T10:10:00Z</dcterms:modified>
</cp:coreProperties>
</file>